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62BB" w:rsidRPr="002925F2" w:rsidRDefault="00AE62BB" w:rsidP="002925F2">
      <w:pPr>
        <w:spacing w:line="360" w:lineRule="auto"/>
        <w:rPr>
          <w:rFonts w:asciiTheme="minorEastAsia" w:hAnsiTheme="minorEastAsia"/>
          <w:b/>
          <w:sz w:val="32"/>
          <w:szCs w:val="24"/>
        </w:rPr>
      </w:pPr>
      <w:r w:rsidRPr="002925F2">
        <w:rPr>
          <w:rFonts w:asciiTheme="minorEastAsia" w:hAnsiTheme="minorEastAsia" w:hint="eastAsia"/>
          <w:b/>
          <w:sz w:val="32"/>
          <w:szCs w:val="24"/>
        </w:rPr>
        <w:t>非</w:t>
      </w:r>
      <w:r w:rsidRPr="002925F2">
        <w:rPr>
          <w:rFonts w:asciiTheme="minorEastAsia" w:hAnsiTheme="minorEastAsia"/>
          <w:b/>
          <w:sz w:val="32"/>
          <w:szCs w:val="24"/>
        </w:rPr>
        <w:t>限定性集合资产管理计划</w:t>
      </w:r>
    </w:p>
    <w:p w:rsidR="00AE62BB" w:rsidRPr="002925F2" w:rsidRDefault="00AE62BB" w:rsidP="002925F2">
      <w:pPr>
        <w:spacing w:line="360" w:lineRule="auto"/>
        <w:rPr>
          <w:rFonts w:asciiTheme="minorEastAsia" w:hAnsiTheme="minorEastAsia"/>
          <w:sz w:val="24"/>
          <w:szCs w:val="24"/>
        </w:rPr>
      </w:pPr>
    </w:p>
    <w:p w:rsidR="00AE62BB" w:rsidRPr="00F60B2B" w:rsidRDefault="00F60B2B" w:rsidP="00F60B2B">
      <w:pPr>
        <w:spacing w:line="360" w:lineRule="auto"/>
        <w:rPr>
          <w:rFonts w:asciiTheme="minorEastAsia" w:hAnsiTheme="minorEastAsia"/>
          <w:b/>
          <w:sz w:val="28"/>
          <w:szCs w:val="24"/>
        </w:rPr>
      </w:pPr>
      <w:r>
        <w:rPr>
          <w:rFonts w:asciiTheme="minorEastAsia" w:hAnsiTheme="minorEastAsia" w:hint="eastAsia"/>
          <w:color w:val="333333"/>
        </w:rPr>
        <w:t>市场</w:t>
      </w:r>
      <w:r>
        <w:rPr>
          <w:rFonts w:asciiTheme="minorEastAsia" w:hAnsiTheme="minorEastAsia"/>
          <w:color w:val="333333"/>
        </w:rPr>
        <w:t>上有很多投资产品可以选，</w:t>
      </w:r>
      <w:r>
        <w:rPr>
          <w:rFonts w:asciiTheme="minorEastAsia" w:hAnsiTheme="minorEastAsia" w:hint="eastAsia"/>
          <w:color w:val="333333"/>
        </w:rPr>
        <w:t>今天</w:t>
      </w:r>
      <w:r>
        <w:rPr>
          <w:rFonts w:asciiTheme="minorEastAsia" w:hAnsiTheme="minorEastAsia"/>
          <w:color w:val="333333"/>
        </w:rPr>
        <w:t>就来学习一下什么是</w:t>
      </w:r>
      <w:r w:rsidRPr="002925F2">
        <w:rPr>
          <w:rFonts w:asciiTheme="minorEastAsia" w:hAnsiTheme="minorEastAsia" w:hint="eastAsia"/>
          <w:color w:val="333333"/>
        </w:rPr>
        <w:t>非限定性集合资产管理计划</w:t>
      </w:r>
      <w:r>
        <w:rPr>
          <w:rFonts w:asciiTheme="minorEastAsia" w:hAnsiTheme="minorEastAsia" w:hint="eastAsia"/>
          <w:color w:val="333333"/>
        </w:rPr>
        <w:t>。</w:t>
      </w:r>
      <w:r w:rsidR="00AE62BB" w:rsidRPr="002925F2">
        <w:rPr>
          <w:rFonts w:asciiTheme="minorEastAsia" w:hAnsiTheme="minorEastAsia" w:hint="eastAsia"/>
          <w:color w:val="333333"/>
        </w:rPr>
        <w:t>非限定性集合资产管理计划是</w:t>
      </w:r>
      <w:r w:rsidR="00AE62BB" w:rsidRPr="002925F2">
        <w:rPr>
          <w:rFonts w:asciiTheme="minorEastAsia" w:hAnsiTheme="minorEastAsia"/>
          <w:color w:val="333333"/>
        </w:rPr>
        <w:t>指</w:t>
      </w:r>
      <w:r w:rsidR="00AE62BB" w:rsidRPr="002925F2">
        <w:rPr>
          <w:rFonts w:asciiTheme="minorEastAsia" w:hAnsiTheme="minorEastAsia" w:hint="eastAsia"/>
          <w:color w:val="333333"/>
        </w:rPr>
        <w:t>投资范围由集合资产管理合同约定，投资于固定收益类和权益类的比例不受限制，而且还可以投资于基金。</w:t>
      </w:r>
    </w:p>
    <w:p w:rsidR="00AE62BB" w:rsidRPr="00F60B2B" w:rsidRDefault="00F60B2B" w:rsidP="00F60B2B">
      <w:pPr>
        <w:pStyle w:val="a3"/>
        <w:shd w:val="clear" w:color="auto" w:fill="FFFFFF"/>
        <w:wordWrap w:val="0"/>
        <w:spacing w:before="75" w:beforeAutospacing="0" w:after="225" w:afterAutospacing="0" w:line="360" w:lineRule="auto"/>
        <w:ind w:right="75"/>
        <w:jc w:val="both"/>
        <w:rPr>
          <w:rFonts w:asciiTheme="minorEastAsia" w:eastAsiaTheme="minorEastAsia" w:hAnsiTheme="minorEastAsia" w:hint="eastAsia"/>
          <w:color w:val="333333"/>
        </w:rPr>
      </w:pPr>
      <w:r>
        <w:rPr>
          <w:rFonts w:asciiTheme="minorEastAsia" w:eastAsiaTheme="minorEastAsia" w:hAnsiTheme="minorEastAsia" w:hint="eastAsia"/>
          <w:color w:val="333333"/>
        </w:rPr>
        <w:t>通常，</w:t>
      </w:r>
      <w:r w:rsidR="00AE62BB" w:rsidRPr="002925F2">
        <w:rPr>
          <w:rFonts w:asciiTheme="minorEastAsia" w:eastAsiaTheme="minorEastAsia" w:hAnsiTheme="minorEastAsia" w:hint="eastAsia"/>
          <w:color w:val="333333"/>
        </w:rPr>
        <w:t>非限定性集合资产管理计划与股票型基金的相比最大优点为可灵活配置资产，及时调整仓位，降低风险，如股票型基金投资股票最低仓位为60％，而非限定性集合资产理财计划的股票仓位最低可为零。</w:t>
      </w:r>
      <w:r>
        <w:rPr>
          <w:rFonts w:asciiTheme="minorEastAsia" w:eastAsiaTheme="minorEastAsia" w:hAnsiTheme="minorEastAsia" w:hint="eastAsia"/>
          <w:color w:val="333333"/>
        </w:rPr>
        <w:t>同时</w:t>
      </w:r>
      <w:r>
        <w:rPr>
          <w:rFonts w:asciiTheme="minorEastAsia" w:eastAsiaTheme="minorEastAsia" w:hAnsiTheme="minorEastAsia"/>
          <w:color w:val="333333"/>
        </w:rPr>
        <w:t>，</w:t>
      </w:r>
      <w:r w:rsidR="00AE62BB" w:rsidRPr="002925F2">
        <w:rPr>
          <w:rFonts w:asciiTheme="minorEastAsia" w:eastAsiaTheme="minorEastAsia" w:hAnsiTheme="minorEastAsia" w:cs="Tahoma"/>
          <w:color w:val="333333"/>
          <w:shd w:val="clear" w:color="auto" w:fill="FFFFFF"/>
        </w:rPr>
        <w:t>证监会对非限定性集合资产管理计划设有最低参与金额限制</w:t>
      </w:r>
      <w:r w:rsidR="00AE62BB" w:rsidRPr="002925F2">
        <w:rPr>
          <w:rFonts w:asciiTheme="minorEastAsia" w:eastAsiaTheme="minorEastAsia" w:hAnsiTheme="minorEastAsia" w:cs="Tahoma" w:hint="eastAsia"/>
          <w:color w:val="333333"/>
          <w:shd w:val="clear" w:color="auto" w:fill="FFFFFF"/>
        </w:rPr>
        <w:t>，</w:t>
      </w:r>
      <w:r w:rsidR="00AE62BB" w:rsidRPr="002925F2">
        <w:rPr>
          <w:rFonts w:asciiTheme="minorEastAsia" w:eastAsiaTheme="minorEastAsia" w:hAnsiTheme="minorEastAsia" w:cs="Tahoma"/>
          <w:color w:val="333333"/>
          <w:shd w:val="clear" w:color="auto" w:fill="FFFFFF"/>
        </w:rPr>
        <w:t>单个客户首次参与非限定性集合资产管理计划的最低金额为10万元。</w:t>
      </w:r>
      <w:r w:rsidR="00AE62BB" w:rsidRPr="002925F2">
        <w:rPr>
          <w:rStyle w:val="apple-converted-space"/>
          <w:rFonts w:asciiTheme="minorEastAsia" w:eastAsiaTheme="minorEastAsia" w:hAnsiTheme="minorEastAsia" w:cs="Tahoma"/>
          <w:color w:val="333333"/>
          <w:shd w:val="clear" w:color="auto" w:fill="FFFFFF"/>
        </w:rPr>
        <w:t> </w:t>
      </w:r>
    </w:p>
    <w:p w:rsidR="00F60B2B" w:rsidRDefault="00F60B2B" w:rsidP="002925F2">
      <w:pPr>
        <w:spacing w:line="360" w:lineRule="auto"/>
        <w:rPr>
          <w:rFonts w:asciiTheme="minorEastAsia" w:hAnsiTheme="minorEastAsia"/>
          <w:sz w:val="24"/>
          <w:szCs w:val="24"/>
        </w:rPr>
      </w:pPr>
      <w:r>
        <w:rPr>
          <w:rFonts w:asciiTheme="minorEastAsia" w:hAnsiTheme="minorEastAsia" w:hint="eastAsia"/>
          <w:sz w:val="24"/>
          <w:szCs w:val="24"/>
        </w:rPr>
        <w:t>我</w:t>
      </w:r>
      <w:r>
        <w:rPr>
          <w:rFonts w:asciiTheme="minorEastAsia" w:hAnsiTheme="minorEastAsia"/>
          <w:sz w:val="24"/>
          <w:szCs w:val="24"/>
        </w:rPr>
        <w:t>们来看一下</w:t>
      </w:r>
      <w:r>
        <w:rPr>
          <w:rFonts w:asciiTheme="minorEastAsia" w:hAnsiTheme="minorEastAsia" w:hint="eastAsia"/>
          <w:sz w:val="24"/>
          <w:szCs w:val="24"/>
        </w:rPr>
        <w:t>例题</w:t>
      </w:r>
      <w:r>
        <w:rPr>
          <w:rFonts w:asciiTheme="minorEastAsia" w:hAnsiTheme="minorEastAsia"/>
          <w:sz w:val="24"/>
          <w:szCs w:val="24"/>
        </w:rPr>
        <w:t>：</w:t>
      </w:r>
    </w:p>
    <w:p w:rsidR="002925F2" w:rsidRPr="002925F2" w:rsidRDefault="002925F2" w:rsidP="002925F2">
      <w:pPr>
        <w:spacing w:line="360" w:lineRule="auto"/>
        <w:rPr>
          <w:rFonts w:asciiTheme="minorEastAsia" w:hAnsiTheme="minorEastAsia"/>
          <w:sz w:val="24"/>
          <w:szCs w:val="24"/>
        </w:rPr>
      </w:pPr>
      <w:r w:rsidRPr="002925F2">
        <w:rPr>
          <w:rFonts w:asciiTheme="minorEastAsia" w:hAnsiTheme="minorEastAsia" w:hint="eastAsia"/>
          <w:sz w:val="24"/>
          <w:szCs w:val="24"/>
        </w:rPr>
        <w:t>以</w:t>
      </w:r>
      <w:r w:rsidRPr="002925F2">
        <w:rPr>
          <w:rFonts w:asciiTheme="minorEastAsia" w:hAnsiTheme="minorEastAsia"/>
          <w:sz w:val="24"/>
          <w:szCs w:val="24"/>
        </w:rPr>
        <w:t>下陈述，</w:t>
      </w:r>
      <w:r w:rsidRPr="002925F2">
        <w:rPr>
          <w:rFonts w:asciiTheme="minorEastAsia" w:hAnsiTheme="minorEastAsia" w:hint="eastAsia"/>
          <w:sz w:val="24"/>
          <w:szCs w:val="24"/>
        </w:rPr>
        <w:t>正确</w:t>
      </w:r>
      <w:r w:rsidRPr="002925F2">
        <w:rPr>
          <w:rFonts w:asciiTheme="minorEastAsia" w:hAnsiTheme="minorEastAsia"/>
          <w:sz w:val="24"/>
          <w:szCs w:val="24"/>
        </w:rPr>
        <w:t>的是</w:t>
      </w:r>
      <w:r w:rsidRPr="002925F2">
        <w:rPr>
          <w:rFonts w:asciiTheme="minorEastAsia" w:hAnsiTheme="minorEastAsia" w:hint="eastAsia"/>
          <w:sz w:val="24"/>
          <w:szCs w:val="24"/>
        </w:rPr>
        <w:t>（）：</w:t>
      </w:r>
    </w:p>
    <w:p w:rsidR="002925F2" w:rsidRPr="002925F2" w:rsidRDefault="002925F2" w:rsidP="002925F2">
      <w:pPr>
        <w:pStyle w:val="a4"/>
        <w:numPr>
          <w:ilvl w:val="0"/>
          <w:numId w:val="2"/>
        </w:numPr>
        <w:spacing w:line="360" w:lineRule="auto"/>
        <w:ind w:firstLineChars="0"/>
        <w:rPr>
          <w:rFonts w:asciiTheme="minorEastAsia" w:hAnsiTheme="minorEastAsia"/>
          <w:sz w:val="24"/>
          <w:szCs w:val="24"/>
        </w:rPr>
      </w:pPr>
      <w:r w:rsidRPr="002925F2">
        <w:rPr>
          <w:rFonts w:asciiTheme="minorEastAsia" w:hAnsiTheme="minorEastAsia" w:hint="eastAsia"/>
          <w:color w:val="333333"/>
          <w:sz w:val="24"/>
          <w:szCs w:val="24"/>
          <w:shd w:val="clear" w:color="auto" w:fill="FFFFFF"/>
        </w:rPr>
        <w:t>非限定性集合资产管理计划不可</w:t>
      </w:r>
      <w:r w:rsidRPr="002925F2">
        <w:rPr>
          <w:rFonts w:asciiTheme="minorEastAsia" w:hAnsiTheme="minorEastAsia"/>
          <w:color w:val="333333"/>
          <w:sz w:val="24"/>
          <w:szCs w:val="24"/>
          <w:shd w:val="clear" w:color="auto" w:fill="FFFFFF"/>
        </w:rPr>
        <w:t>以根据</w:t>
      </w:r>
      <w:r w:rsidRPr="002925F2">
        <w:rPr>
          <w:rFonts w:asciiTheme="minorEastAsia" w:hAnsiTheme="minorEastAsia" w:hint="eastAsia"/>
          <w:color w:val="333333"/>
          <w:sz w:val="24"/>
          <w:szCs w:val="24"/>
          <w:shd w:val="clear" w:color="auto" w:fill="FFFFFF"/>
        </w:rPr>
        <w:t>市场</w:t>
      </w:r>
      <w:r w:rsidRPr="002925F2">
        <w:rPr>
          <w:rFonts w:asciiTheme="minorEastAsia" w:hAnsiTheme="minorEastAsia"/>
          <w:color w:val="333333"/>
          <w:sz w:val="24"/>
          <w:szCs w:val="24"/>
          <w:shd w:val="clear" w:color="auto" w:fill="FFFFFF"/>
        </w:rPr>
        <w:t>信息，</w:t>
      </w:r>
      <w:r w:rsidRPr="002925F2">
        <w:rPr>
          <w:rFonts w:asciiTheme="minorEastAsia" w:hAnsiTheme="minorEastAsia" w:hint="eastAsia"/>
          <w:color w:val="333333"/>
          <w:sz w:val="24"/>
          <w:szCs w:val="24"/>
          <w:shd w:val="clear" w:color="auto" w:fill="FFFFFF"/>
        </w:rPr>
        <w:t>而</w:t>
      </w:r>
      <w:r w:rsidRPr="002925F2">
        <w:rPr>
          <w:rFonts w:asciiTheme="minorEastAsia" w:hAnsiTheme="minorEastAsia"/>
          <w:color w:val="333333"/>
          <w:sz w:val="24"/>
          <w:szCs w:val="24"/>
          <w:shd w:val="clear" w:color="auto" w:fill="FFFFFF"/>
        </w:rPr>
        <w:t>时时改变投资策略。</w:t>
      </w:r>
    </w:p>
    <w:p w:rsidR="002925F2" w:rsidRPr="002925F2" w:rsidRDefault="002925F2" w:rsidP="002925F2">
      <w:pPr>
        <w:pStyle w:val="a4"/>
        <w:numPr>
          <w:ilvl w:val="0"/>
          <w:numId w:val="2"/>
        </w:numPr>
        <w:spacing w:line="360" w:lineRule="auto"/>
        <w:ind w:firstLineChars="0"/>
        <w:rPr>
          <w:rFonts w:asciiTheme="minorEastAsia" w:hAnsiTheme="minorEastAsia"/>
          <w:sz w:val="24"/>
          <w:szCs w:val="24"/>
        </w:rPr>
      </w:pPr>
      <w:r w:rsidRPr="002925F2">
        <w:rPr>
          <w:rFonts w:asciiTheme="minorEastAsia" w:hAnsiTheme="minorEastAsia" w:hint="eastAsia"/>
          <w:color w:val="333333"/>
          <w:sz w:val="24"/>
          <w:szCs w:val="24"/>
          <w:shd w:val="clear" w:color="auto" w:fill="FFFFFF"/>
        </w:rPr>
        <w:t>非限定性集合资产管理计划可</w:t>
      </w:r>
      <w:r w:rsidRPr="002925F2">
        <w:rPr>
          <w:rFonts w:asciiTheme="minorEastAsia" w:hAnsiTheme="minorEastAsia"/>
          <w:color w:val="333333"/>
          <w:sz w:val="24"/>
          <w:szCs w:val="24"/>
          <w:shd w:val="clear" w:color="auto" w:fill="FFFFFF"/>
        </w:rPr>
        <w:t>以投资</w:t>
      </w:r>
      <w:r w:rsidRPr="002925F2">
        <w:rPr>
          <w:rFonts w:asciiTheme="minorEastAsia" w:hAnsiTheme="minorEastAsia" w:hint="eastAsia"/>
          <w:color w:val="333333"/>
          <w:sz w:val="24"/>
          <w:szCs w:val="24"/>
          <w:shd w:val="clear" w:color="auto" w:fill="FFFFFF"/>
        </w:rPr>
        <w:t>70%以的</w:t>
      </w:r>
      <w:r w:rsidRPr="002925F2">
        <w:rPr>
          <w:rFonts w:asciiTheme="minorEastAsia" w:hAnsiTheme="minorEastAsia"/>
          <w:color w:val="333333"/>
          <w:sz w:val="24"/>
          <w:szCs w:val="24"/>
          <w:shd w:val="clear" w:color="auto" w:fill="FFFFFF"/>
        </w:rPr>
        <w:t>资金到股票市场。</w:t>
      </w:r>
    </w:p>
    <w:p w:rsidR="002925F2" w:rsidRPr="002925F2" w:rsidRDefault="002925F2" w:rsidP="002925F2">
      <w:pPr>
        <w:pStyle w:val="a4"/>
        <w:numPr>
          <w:ilvl w:val="0"/>
          <w:numId w:val="2"/>
        </w:numPr>
        <w:spacing w:line="360" w:lineRule="auto"/>
        <w:ind w:firstLineChars="0"/>
        <w:rPr>
          <w:rFonts w:asciiTheme="minorEastAsia" w:hAnsiTheme="minorEastAsia"/>
          <w:sz w:val="24"/>
          <w:szCs w:val="24"/>
        </w:rPr>
      </w:pPr>
      <w:r w:rsidRPr="002925F2">
        <w:rPr>
          <w:rFonts w:asciiTheme="minorEastAsia" w:hAnsiTheme="minorEastAsia" w:hint="eastAsia"/>
          <w:color w:val="333333"/>
          <w:sz w:val="24"/>
          <w:szCs w:val="24"/>
          <w:shd w:val="clear" w:color="auto" w:fill="FFFFFF"/>
        </w:rPr>
        <w:t>非限定性集合资产管理计划不可</w:t>
      </w:r>
      <w:r w:rsidRPr="002925F2">
        <w:rPr>
          <w:rFonts w:asciiTheme="minorEastAsia" w:hAnsiTheme="minorEastAsia"/>
          <w:color w:val="333333"/>
          <w:sz w:val="24"/>
          <w:szCs w:val="24"/>
          <w:shd w:val="clear" w:color="auto" w:fill="FFFFFF"/>
        </w:rPr>
        <w:t>以只投资于某一高</w:t>
      </w:r>
      <w:r w:rsidRPr="002925F2">
        <w:rPr>
          <w:rFonts w:asciiTheme="minorEastAsia" w:hAnsiTheme="minorEastAsia" w:hint="eastAsia"/>
          <w:color w:val="333333"/>
          <w:sz w:val="24"/>
          <w:szCs w:val="24"/>
          <w:shd w:val="clear" w:color="auto" w:fill="FFFFFF"/>
        </w:rPr>
        <w:t>收</w:t>
      </w:r>
      <w:r w:rsidRPr="002925F2">
        <w:rPr>
          <w:rFonts w:asciiTheme="minorEastAsia" w:hAnsiTheme="minorEastAsia"/>
          <w:color w:val="333333"/>
          <w:sz w:val="24"/>
          <w:szCs w:val="24"/>
          <w:shd w:val="clear" w:color="auto" w:fill="FFFFFF"/>
        </w:rPr>
        <w:t>益行业</w:t>
      </w:r>
      <w:r w:rsidRPr="002925F2">
        <w:rPr>
          <w:rFonts w:asciiTheme="minorEastAsia" w:hAnsiTheme="minorEastAsia" w:hint="eastAsia"/>
          <w:color w:val="333333"/>
          <w:sz w:val="24"/>
          <w:szCs w:val="24"/>
          <w:shd w:val="clear" w:color="auto" w:fill="FFFFFF"/>
        </w:rPr>
        <w:t>。</w:t>
      </w:r>
    </w:p>
    <w:p w:rsidR="00AE62BB" w:rsidRPr="002925F2" w:rsidRDefault="002925F2" w:rsidP="002925F2">
      <w:pPr>
        <w:pStyle w:val="a4"/>
        <w:numPr>
          <w:ilvl w:val="0"/>
          <w:numId w:val="2"/>
        </w:numPr>
        <w:spacing w:line="360" w:lineRule="auto"/>
        <w:ind w:firstLineChars="0"/>
        <w:rPr>
          <w:rFonts w:asciiTheme="minorEastAsia" w:hAnsiTheme="minorEastAsia"/>
          <w:sz w:val="24"/>
          <w:szCs w:val="24"/>
        </w:rPr>
      </w:pPr>
      <w:r w:rsidRPr="002925F2">
        <w:rPr>
          <w:rFonts w:asciiTheme="minorEastAsia" w:hAnsiTheme="minorEastAsia" w:hint="eastAsia"/>
          <w:color w:val="333333"/>
          <w:sz w:val="24"/>
          <w:szCs w:val="24"/>
          <w:shd w:val="clear" w:color="auto" w:fill="FFFFFF"/>
        </w:rPr>
        <w:t>非限定性集合资产管理计划的</w:t>
      </w:r>
      <w:r w:rsidRPr="002925F2">
        <w:rPr>
          <w:rFonts w:asciiTheme="minorEastAsia" w:hAnsiTheme="minorEastAsia"/>
          <w:color w:val="333333"/>
          <w:sz w:val="24"/>
          <w:szCs w:val="24"/>
          <w:shd w:val="clear" w:color="auto" w:fill="FFFFFF"/>
        </w:rPr>
        <w:t>总体风险要</w:t>
      </w:r>
      <w:r w:rsidRPr="002925F2">
        <w:rPr>
          <w:rFonts w:asciiTheme="minorEastAsia" w:hAnsiTheme="minorEastAsia" w:hint="eastAsia"/>
          <w:color w:val="333333"/>
          <w:sz w:val="24"/>
          <w:szCs w:val="24"/>
          <w:shd w:val="clear" w:color="auto" w:fill="FFFFFF"/>
        </w:rPr>
        <w:t>比限定性集合资产管理计划的</w:t>
      </w:r>
      <w:r w:rsidRPr="002925F2">
        <w:rPr>
          <w:rFonts w:asciiTheme="minorEastAsia" w:hAnsiTheme="minorEastAsia"/>
          <w:color w:val="333333"/>
          <w:sz w:val="24"/>
          <w:szCs w:val="24"/>
          <w:shd w:val="clear" w:color="auto" w:fill="FFFFFF"/>
        </w:rPr>
        <w:t>风险低。</w:t>
      </w:r>
    </w:p>
    <w:p w:rsidR="002925F2" w:rsidRDefault="00F60B2B" w:rsidP="002925F2">
      <w:pPr>
        <w:spacing w:line="360" w:lineRule="auto"/>
        <w:rPr>
          <w:rStyle w:val="apple-converted-space"/>
          <w:rFonts w:asciiTheme="minorEastAsia" w:hAnsiTheme="minorEastAsia"/>
          <w:sz w:val="24"/>
          <w:szCs w:val="24"/>
        </w:rPr>
      </w:pPr>
      <w:r>
        <w:rPr>
          <w:rStyle w:val="apple-converted-space"/>
          <w:rFonts w:asciiTheme="minorEastAsia" w:hAnsiTheme="minorEastAsia" w:hint="eastAsia"/>
          <w:sz w:val="24"/>
          <w:szCs w:val="24"/>
        </w:rPr>
        <w:t>正</w:t>
      </w:r>
      <w:r>
        <w:rPr>
          <w:rStyle w:val="apple-converted-space"/>
          <w:rFonts w:asciiTheme="minorEastAsia" w:hAnsiTheme="minorEastAsia"/>
          <w:sz w:val="24"/>
          <w:szCs w:val="24"/>
        </w:rPr>
        <w:t>确的</w:t>
      </w:r>
      <w:r w:rsidR="002925F2" w:rsidRPr="002925F2">
        <w:rPr>
          <w:rStyle w:val="apple-converted-space"/>
          <w:rFonts w:asciiTheme="minorEastAsia" w:hAnsiTheme="minorEastAsia" w:hint="eastAsia"/>
          <w:sz w:val="24"/>
          <w:szCs w:val="24"/>
        </w:rPr>
        <w:t>答案</w:t>
      </w:r>
      <w:r>
        <w:rPr>
          <w:rStyle w:val="apple-converted-space"/>
          <w:rFonts w:asciiTheme="minorEastAsia" w:hAnsiTheme="minorEastAsia" w:hint="eastAsia"/>
          <w:sz w:val="24"/>
          <w:szCs w:val="24"/>
        </w:rPr>
        <w:t>是</w:t>
      </w:r>
      <w:r w:rsidR="002925F2" w:rsidRPr="002925F2">
        <w:rPr>
          <w:rStyle w:val="apple-converted-space"/>
          <w:rFonts w:asciiTheme="minorEastAsia" w:hAnsiTheme="minorEastAsia" w:hint="eastAsia"/>
          <w:sz w:val="24"/>
          <w:szCs w:val="24"/>
        </w:rPr>
        <w:t>B</w:t>
      </w:r>
      <w:r>
        <w:rPr>
          <w:rStyle w:val="apple-converted-space"/>
          <w:rFonts w:asciiTheme="minorEastAsia" w:hAnsiTheme="minorEastAsia" w:hint="eastAsia"/>
          <w:sz w:val="24"/>
          <w:szCs w:val="24"/>
        </w:rPr>
        <w:t>，</w:t>
      </w:r>
      <w:r>
        <w:rPr>
          <w:rStyle w:val="apple-converted-space"/>
          <w:rFonts w:asciiTheme="minorEastAsia" w:hAnsiTheme="minorEastAsia"/>
          <w:sz w:val="24"/>
          <w:szCs w:val="24"/>
        </w:rPr>
        <w:t>你学会了吗？</w:t>
      </w:r>
    </w:p>
    <w:p w:rsidR="00F60B2B" w:rsidRDefault="00F60B2B" w:rsidP="002925F2">
      <w:pPr>
        <w:spacing w:line="360" w:lineRule="auto"/>
        <w:rPr>
          <w:rStyle w:val="apple-converted-space"/>
          <w:rFonts w:asciiTheme="minorEastAsia" w:hAnsiTheme="minorEastAsia"/>
          <w:sz w:val="24"/>
          <w:szCs w:val="24"/>
        </w:rPr>
      </w:pPr>
    </w:p>
    <w:p w:rsidR="00F60B2B" w:rsidRPr="002925F2" w:rsidRDefault="00F60B2B" w:rsidP="002925F2">
      <w:pPr>
        <w:spacing w:line="360" w:lineRule="auto"/>
        <w:rPr>
          <w:rStyle w:val="apple-converted-space"/>
          <w:rFonts w:asciiTheme="minorEastAsia" w:hAnsiTheme="minorEastAsia" w:hint="eastAsia"/>
          <w:sz w:val="24"/>
          <w:szCs w:val="24"/>
        </w:rPr>
      </w:pPr>
      <w:bookmarkStart w:id="0" w:name="_GoBack"/>
      <w:bookmarkEnd w:id="0"/>
    </w:p>
    <w:p w:rsidR="00E33291" w:rsidRPr="002925F2" w:rsidRDefault="00E33291" w:rsidP="002925F2">
      <w:pPr>
        <w:spacing w:line="360" w:lineRule="auto"/>
        <w:rPr>
          <w:rFonts w:asciiTheme="minorEastAsia" w:hAnsiTheme="minorEastAsia"/>
          <w:sz w:val="24"/>
          <w:szCs w:val="24"/>
        </w:rPr>
      </w:pPr>
    </w:p>
    <w:sectPr w:rsidR="00E33291" w:rsidRPr="002925F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15A4" w:rsidRDefault="00F415A4" w:rsidP="002925F2">
      <w:r>
        <w:separator/>
      </w:r>
    </w:p>
  </w:endnote>
  <w:endnote w:type="continuationSeparator" w:id="0">
    <w:p w:rsidR="00F415A4" w:rsidRDefault="00F415A4" w:rsidP="00292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15A4" w:rsidRDefault="00F415A4" w:rsidP="002925F2">
      <w:r>
        <w:separator/>
      </w:r>
    </w:p>
  </w:footnote>
  <w:footnote w:type="continuationSeparator" w:id="0">
    <w:p w:rsidR="00F415A4" w:rsidRDefault="00F415A4" w:rsidP="002925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C6355ED"/>
    <w:multiLevelType w:val="hybridMultilevel"/>
    <w:tmpl w:val="C71E441E"/>
    <w:lvl w:ilvl="0" w:tplc="04090015">
      <w:start w:val="1"/>
      <w:numFmt w:val="upp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79434C02"/>
    <w:multiLevelType w:val="hybridMultilevel"/>
    <w:tmpl w:val="6E2284C4"/>
    <w:lvl w:ilvl="0" w:tplc="0409000F">
      <w:start w:val="1"/>
      <w:numFmt w:val="decimal"/>
      <w:lvlText w:val="%1."/>
      <w:lvlJc w:val="left"/>
      <w:pPr>
        <w:ind w:left="495" w:hanging="420"/>
      </w:pPr>
    </w:lvl>
    <w:lvl w:ilvl="1" w:tplc="04090019" w:tentative="1">
      <w:start w:val="1"/>
      <w:numFmt w:val="lowerLetter"/>
      <w:lvlText w:val="%2)"/>
      <w:lvlJc w:val="left"/>
      <w:pPr>
        <w:ind w:left="915" w:hanging="420"/>
      </w:pPr>
    </w:lvl>
    <w:lvl w:ilvl="2" w:tplc="0409001B" w:tentative="1">
      <w:start w:val="1"/>
      <w:numFmt w:val="lowerRoman"/>
      <w:lvlText w:val="%3."/>
      <w:lvlJc w:val="right"/>
      <w:pPr>
        <w:ind w:left="1335" w:hanging="420"/>
      </w:pPr>
    </w:lvl>
    <w:lvl w:ilvl="3" w:tplc="0409000F" w:tentative="1">
      <w:start w:val="1"/>
      <w:numFmt w:val="decimal"/>
      <w:lvlText w:val="%4."/>
      <w:lvlJc w:val="left"/>
      <w:pPr>
        <w:ind w:left="1755" w:hanging="420"/>
      </w:pPr>
    </w:lvl>
    <w:lvl w:ilvl="4" w:tplc="04090019" w:tentative="1">
      <w:start w:val="1"/>
      <w:numFmt w:val="lowerLetter"/>
      <w:lvlText w:val="%5)"/>
      <w:lvlJc w:val="left"/>
      <w:pPr>
        <w:ind w:left="2175" w:hanging="420"/>
      </w:pPr>
    </w:lvl>
    <w:lvl w:ilvl="5" w:tplc="0409001B" w:tentative="1">
      <w:start w:val="1"/>
      <w:numFmt w:val="lowerRoman"/>
      <w:lvlText w:val="%6."/>
      <w:lvlJc w:val="right"/>
      <w:pPr>
        <w:ind w:left="2595" w:hanging="420"/>
      </w:pPr>
    </w:lvl>
    <w:lvl w:ilvl="6" w:tplc="0409000F" w:tentative="1">
      <w:start w:val="1"/>
      <w:numFmt w:val="decimal"/>
      <w:lvlText w:val="%7."/>
      <w:lvlJc w:val="left"/>
      <w:pPr>
        <w:ind w:left="3015" w:hanging="420"/>
      </w:pPr>
    </w:lvl>
    <w:lvl w:ilvl="7" w:tplc="04090019" w:tentative="1">
      <w:start w:val="1"/>
      <w:numFmt w:val="lowerLetter"/>
      <w:lvlText w:val="%8)"/>
      <w:lvlJc w:val="left"/>
      <w:pPr>
        <w:ind w:left="3435" w:hanging="420"/>
      </w:pPr>
    </w:lvl>
    <w:lvl w:ilvl="8" w:tplc="0409001B" w:tentative="1">
      <w:start w:val="1"/>
      <w:numFmt w:val="lowerRoman"/>
      <w:lvlText w:val="%9."/>
      <w:lvlJc w:val="right"/>
      <w:pPr>
        <w:ind w:left="385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2BB"/>
    <w:rsid w:val="002925F2"/>
    <w:rsid w:val="008E0CF1"/>
    <w:rsid w:val="00AE62BB"/>
    <w:rsid w:val="00E33291"/>
    <w:rsid w:val="00F415A4"/>
    <w:rsid w:val="00F60B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3CEEC8F-AE77-4DCA-A17F-45A86FAA2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62B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AE62BB"/>
  </w:style>
  <w:style w:type="paragraph" w:styleId="a3">
    <w:name w:val="Normal (Web)"/>
    <w:basedOn w:val="a"/>
    <w:uiPriority w:val="99"/>
    <w:unhideWhenUsed/>
    <w:rsid w:val="00AE62BB"/>
    <w:pPr>
      <w:widowControl/>
      <w:spacing w:before="100" w:beforeAutospacing="1" w:after="100" w:afterAutospacing="1"/>
      <w:jc w:val="left"/>
    </w:pPr>
    <w:rPr>
      <w:rFonts w:ascii="宋体" w:eastAsia="宋体" w:hAnsi="宋体" w:cs="宋体"/>
      <w:kern w:val="0"/>
      <w:sz w:val="24"/>
      <w:szCs w:val="24"/>
    </w:rPr>
  </w:style>
  <w:style w:type="paragraph" w:styleId="a4">
    <w:name w:val="List Paragraph"/>
    <w:basedOn w:val="a"/>
    <w:uiPriority w:val="34"/>
    <w:qFormat/>
    <w:rsid w:val="002925F2"/>
    <w:pPr>
      <w:ind w:firstLineChars="200" w:firstLine="420"/>
    </w:pPr>
  </w:style>
  <w:style w:type="paragraph" w:styleId="a5">
    <w:name w:val="header"/>
    <w:basedOn w:val="a"/>
    <w:link w:val="Char"/>
    <w:uiPriority w:val="99"/>
    <w:unhideWhenUsed/>
    <w:rsid w:val="002925F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2925F2"/>
    <w:rPr>
      <w:sz w:val="18"/>
      <w:szCs w:val="18"/>
    </w:rPr>
  </w:style>
  <w:style w:type="paragraph" w:styleId="a6">
    <w:name w:val="footer"/>
    <w:basedOn w:val="a"/>
    <w:link w:val="Char0"/>
    <w:uiPriority w:val="99"/>
    <w:unhideWhenUsed/>
    <w:rsid w:val="002925F2"/>
    <w:pPr>
      <w:tabs>
        <w:tab w:val="center" w:pos="4153"/>
        <w:tab w:val="right" w:pos="8306"/>
      </w:tabs>
      <w:snapToGrid w:val="0"/>
      <w:jc w:val="left"/>
    </w:pPr>
    <w:rPr>
      <w:sz w:val="18"/>
      <w:szCs w:val="18"/>
    </w:rPr>
  </w:style>
  <w:style w:type="character" w:customStyle="1" w:styleId="Char0">
    <w:name w:val="页脚 Char"/>
    <w:basedOn w:val="a0"/>
    <w:link w:val="a6"/>
    <w:uiPriority w:val="99"/>
    <w:rsid w:val="002925F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65</Words>
  <Characters>372</Characters>
  <Application>Microsoft Office Word</Application>
  <DocSecurity>0</DocSecurity>
  <Lines>3</Lines>
  <Paragraphs>1</Paragraphs>
  <ScaleCrop>false</ScaleCrop>
  <Company>Microsoft</Company>
  <LinksUpToDate>false</LinksUpToDate>
  <CharactersWithSpaces>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cp:lastModifiedBy>
  <cp:revision>3</cp:revision>
  <dcterms:created xsi:type="dcterms:W3CDTF">2014-08-15T02:25:00Z</dcterms:created>
  <dcterms:modified xsi:type="dcterms:W3CDTF">2014-08-15T06:48:00Z</dcterms:modified>
</cp:coreProperties>
</file>